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70" w:rsidRDefault="009B4370">
      <w:pPr>
        <w:pStyle w:val="Kop3"/>
        <w:tabs>
          <w:tab w:val="clear" w:pos="3700"/>
          <w:tab w:val="clear" w:pos="7080"/>
          <w:tab w:val="left" w:pos="1701"/>
          <w:tab w:val="left" w:pos="2552"/>
        </w:tabs>
        <w:ind w:left="1985" w:hanging="1985"/>
      </w:pPr>
      <w:bookmarkStart w:id="0" w:name="_GoBack"/>
      <w:bookmarkEnd w:id="0"/>
      <w:r>
        <w:t xml:space="preserve">BEDRIJFSTAK </w:t>
      </w:r>
      <w:r>
        <w:tab/>
        <w:t>:</w:t>
      </w:r>
      <w:r>
        <w:tab/>
        <w:t>CONTRACT CATERING</w:t>
      </w:r>
    </w:p>
    <w:p w:rsidR="009B4370" w:rsidRDefault="009B4370">
      <w:pPr>
        <w:pStyle w:val="ONDERNEMINGon"/>
        <w:tabs>
          <w:tab w:val="left" w:pos="1701"/>
        </w:tabs>
      </w:pPr>
    </w:p>
    <w:p w:rsidR="009B4370" w:rsidRDefault="009B4370">
      <w:pPr>
        <w:tabs>
          <w:tab w:val="left" w:pos="1701"/>
          <w:tab w:val="left" w:pos="2552"/>
        </w:tabs>
        <w:ind w:left="1985" w:hanging="1985"/>
      </w:pPr>
      <w:r>
        <w:t>Functiecategorie</w:t>
      </w:r>
      <w:r>
        <w:tab/>
        <w:t>:</w:t>
      </w:r>
      <w:r>
        <w:tab/>
        <w:t>Inflight catering</w:t>
      </w:r>
    </w:p>
    <w:p w:rsidR="009B4370" w:rsidRDefault="009B4370">
      <w:pPr>
        <w:pStyle w:val="ONDERNEMINGon"/>
        <w:tabs>
          <w:tab w:val="left" w:pos="1701"/>
        </w:tabs>
      </w:pPr>
      <w:r>
        <w:t>Afdeling</w:t>
      </w:r>
      <w:r>
        <w:tab/>
        <w:t>:</w:t>
      </w:r>
      <w:r>
        <w:tab/>
        <w:t>Diverse afdelingen</w:t>
      </w:r>
    </w:p>
    <w:p w:rsidR="009B4370" w:rsidRDefault="009B4370">
      <w:pPr>
        <w:pStyle w:val="ONDERNEMINGon"/>
        <w:tabs>
          <w:tab w:val="left" w:pos="1701"/>
        </w:tabs>
      </w:pPr>
      <w:r>
        <w:t>Bijlage</w:t>
      </w:r>
      <w:r>
        <w:tab/>
        <w:t>:</w:t>
      </w:r>
      <w:r>
        <w:tab/>
        <w:t>Teamleider A en B</w:t>
      </w:r>
    </w:p>
    <w:p w:rsidR="009B4370" w:rsidRDefault="009B4370">
      <w:pPr>
        <w:pStyle w:val="ONDERNEMINGon"/>
        <w:tabs>
          <w:tab w:val="left" w:pos="1701"/>
        </w:tabs>
      </w:pPr>
      <w:r>
        <w:t>Bijlagenummer</w:t>
      </w:r>
      <w:r>
        <w:tab/>
        <w:t>:</w:t>
      </w:r>
      <w:r>
        <w:tab/>
        <w:t>IC.6.2-bijl. en IC.7.3-bijl.</w:t>
      </w:r>
    </w:p>
    <w:p w:rsidR="009B4370" w:rsidRDefault="009B4370"/>
    <w:p w:rsidR="009B4370" w:rsidRDefault="009B4370"/>
    <w:p w:rsidR="009B4370" w:rsidRDefault="009B4370">
      <w:pPr>
        <w:pStyle w:val="Kop2"/>
      </w:pPr>
      <w:r>
        <w:t>Onderscheid tussen standaard en zware variant teamleider</w:t>
      </w:r>
    </w:p>
    <w:p w:rsidR="009B4370" w:rsidRDefault="009B4370">
      <w:pPr>
        <w:ind w:right="-302"/>
      </w:pPr>
      <w:r>
        <w:t>De functie “teamleider” komt voor in een standaard en in een zware variant. Dit is afhankelijk van de complexiteit van het leidinggeven en van het werkproces in de betrokken afdeling. Een team</w:t>
      </w:r>
      <w:r>
        <w:softHyphen/>
        <w:t>leider wordt ingedeeld in een variant, indien de meerderheid van de criteria in die variant aan de orde zijn.</w:t>
      </w:r>
    </w:p>
    <w:p w:rsidR="009B4370" w:rsidRDefault="009B4370"/>
    <w:tbl>
      <w:tblPr>
        <w:tblW w:w="8869" w:type="dxa"/>
        <w:tblLayout w:type="fixed"/>
        <w:tblCellMar>
          <w:left w:w="80" w:type="dxa"/>
          <w:right w:w="80" w:type="dxa"/>
        </w:tblCellMar>
        <w:tblLook w:val="0000" w:firstRow="0" w:lastRow="0" w:firstColumn="0" w:lastColumn="0" w:noHBand="0" w:noVBand="0"/>
      </w:tblPr>
      <w:tblGrid>
        <w:gridCol w:w="3908"/>
        <w:gridCol w:w="2551"/>
        <w:gridCol w:w="2410"/>
      </w:tblGrid>
      <w:tr w:rsidR="009B4370">
        <w:tblPrEx>
          <w:tblCellMar>
            <w:top w:w="0" w:type="dxa"/>
            <w:bottom w:w="0" w:type="dxa"/>
          </w:tblCellMar>
        </w:tblPrEx>
        <w:trPr>
          <w:tblHeader/>
        </w:trPr>
        <w:tc>
          <w:tcPr>
            <w:tcW w:w="3908" w:type="dxa"/>
          </w:tcPr>
          <w:p w:rsidR="009B4370" w:rsidRDefault="009B4370">
            <w:pPr>
              <w:ind w:right="16"/>
              <w:jc w:val="center"/>
              <w:rPr>
                <w:lang w:bidi="x-none"/>
              </w:rPr>
            </w:pPr>
            <w:r>
              <w:rPr>
                <w:lang w:bidi="x-none"/>
              </w:rPr>
              <w:t>CRITERIA</w:t>
            </w:r>
          </w:p>
        </w:tc>
        <w:tc>
          <w:tcPr>
            <w:tcW w:w="2551" w:type="dxa"/>
            <w:tcBorders>
              <w:left w:val="single" w:sz="6" w:space="0" w:color="auto"/>
              <w:bottom w:val="single" w:sz="6" w:space="0" w:color="auto"/>
            </w:tcBorders>
          </w:tcPr>
          <w:p w:rsidR="009B4370" w:rsidRDefault="009B4370">
            <w:pPr>
              <w:ind w:right="16"/>
              <w:jc w:val="center"/>
              <w:rPr>
                <w:i/>
                <w:lang w:bidi="x-none"/>
              </w:rPr>
            </w:pPr>
            <w:r>
              <w:rPr>
                <w:i/>
                <w:lang w:bidi="x-none"/>
              </w:rPr>
              <w:t>standaard</w:t>
            </w:r>
          </w:p>
          <w:p w:rsidR="009B4370" w:rsidRDefault="009B4370">
            <w:pPr>
              <w:ind w:right="16"/>
              <w:jc w:val="center"/>
              <w:rPr>
                <w:i/>
                <w:lang w:bidi="x-none"/>
              </w:rPr>
            </w:pPr>
            <w:r>
              <w:rPr>
                <w:i/>
                <w:lang w:bidi="x-none"/>
              </w:rPr>
              <w:t>variant</w:t>
            </w:r>
          </w:p>
        </w:tc>
        <w:tc>
          <w:tcPr>
            <w:tcW w:w="2410" w:type="dxa"/>
            <w:tcBorders>
              <w:left w:val="single" w:sz="6" w:space="0" w:color="auto"/>
              <w:bottom w:val="single" w:sz="6" w:space="0" w:color="auto"/>
              <w:right w:val="single" w:sz="6" w:space="0" w:color="auto"/>
            </w:tcBorders>
          </w:tcPr>
          <w:p w:rsidR="009B4370" w:rsidRDefault="009B4370">
            <w:pPr>
              <w:ind w:right="16"/>
              <w:jc w:val="center"/>
              <w:rPr>
                <w:i/>
                <w:lang w:bidi="x-none"/>
              </w:rPr>
            </w:pPr>
            <w:r>
              <w:rPr>
                <w:i/>
                <w:lang w:bidi="x-none"/>
              </w:rPr>
              <w:t>zware</w:t>
            </w:r>
          </w:p>
          <w:p w:rsidR="009B4370" w:rsidRDefault="009B4370">
            <w:pPr>
              <w:ind w:right="16"/>
              <w:jc w:val="center"/>
              <w:rPr>
                <w:i/>
                <w:lang w:bidi="x-none"/>
              </w:rPr>
            </w:pPr>
            <w:r>
              <w:rPr>
                <w:i/>
                <w:lang w:bidi="x-none"/>
              </w:rPr>
              <w:t>variant</w:t>
            </w:r>
          </w:p>
        </w:tc>
      </w:tr>
      <w:tr w:rsidR="009B4370">
        <w:tblPrEx>
          <w:tblCellMar>
            <w:top w:w="0" w:type="dxa"/>
            <w:bottom w:w="0" w:type="dxa"/>
          </w:tblCellMar>
        </w:tblPrEx>
        <w:tc>
          <w:tcPr>
            <w:tcW w:w="3908" w:type="dxa"/>
            <w:tcBorders>
              <w:top w:val="single" w:sz="6" w:space="0" w:color="auto"/>
            </w:tcBorders>
          </w:tcPr>
          <w:p w:rsidR="009B4370" w:rsidRDefault="009B4370">
            <w:pPr>
              <w:ind w:left="300" w:right="16" w:hanging="300"/>
              <w:rPr>
                <w:lang w:bidi="x-none"/>
              </w:rPr>
            </w:pPr>
          </w:p>
          <w:p w:rsidR="009B4370" w:rsidRDefault="009B4370">
            <w:pPr>
              <w:ind w:left="300" w:right="16" w:hanging="300"/>
              <w:rPr>
                <w:lang w:bidi="x-none"/>
              </w:rPr>
            </w:pPr>
            <w:r>
              <w:rPr>
                <w:lang w:bidi="x-none"/>
              </w:rPr>
              <w:t>-</w:t>
            </w:r>
            <w:r>
              <w:rPr>
                <w:lang w:bidi="x-none"/>
              </w:rPr>
              <w:tab/>
              <w:t>span of control</w:t>
            </w:r>
            <w:r>
              <w:rPr>
                <w:lang w:bidi="x-none"/>
              </w:rPr>
              <w:br/>
              <w:t>(leidinggeven aan)</w:t>
            </w:r>
          </w:p>
          <w:p w:rsidR="009B4370" w:rsidRDefault="009B4370">
            <w:pPr>
              <w:ind w:left="300" w:right="16" w:hanging="300"/>
              <w:rPr>
                <w:lang w:bidi="x-none"/>
              </w:rPr>
            </w:pPr>
          </w:p>
          <w:p w:rsidR="009B4370" w:rsidRDefault="009B4370">
            <w:pPr>
              <w:ind w:left="300" w:right="16" w:hanging="300"/>
              <w:rPr>
                <w:lang w:bidi="x-none"/>
              </w:rPr>
            </w:pPr>
          </w:p>
        </w:tc>
        <w:tc>
          <w:tcPr>
            <w:tcW w:w="2551" w:type="dxa"/>
            <w:tcBorders>
              <w:top w:val="single" w:sz="6" w:space="0" w:color="auto"/>
              <w:left w:val="single" w:sz="6" w:space="0" w:color="auto"/>
            </w:tcBorders>
          </w:tcPr>
          <w:p w:rsidR="009B4370" w:rsidRDefault="009B4370">
            <w:pPr>
              <w:ind w:right="16"/>
              <w:jc w:val="center"/>
              <w:rPr>
                <w:lang w:bidi="x-none"/>
              </w:rPr>
            </w:pPr>
          </w:p>
          <w:p w:rsidR="009B4370" w:rsidRDefault="009B4370">
            <w:pPr>
              <w:ind w:right="16"/>
              <w:jc w:val="center"/>
              <w:rPr>
                <w:lang w:bidi="x-none"/>
              </w:rPr>
            </w:pPr>
            <w:r>
              <w:rPr>
                <w:lang w:bidi="x-none"/>
              </w:rPr>
              <w:t>kleinere groepen</w:t>
            </w:r>
          </w:p>
          <w:p w:rsidR="009B4370" w:rsidRDefault="009B4370">
            <w:pPr>
              <w:ind w:right="16"/>
              <w:jc w:val="center"/>
              <w:rPr>
                <w:lang w:bidi="x-none"/>
              </w:rPr>
            </w:pPr>
            <w:r>
              <w:rPr>
                <w:lang w:bidi="x-none"/>
              </w:rPr>
              <w:t>(&lt;20 medewerkers)</w:t>
            </w:r>
          </w:p>
          <w:p w:rsidR="009B4370" w:rsidRDefault="009B4370">
            <w:pPr>
              <w:ind w:right="16"/>
              <w:jc w:val="center"/>
              <w:rPr>
                <w:lang w:bidi="x-none"/>
              </w:rPr>
            </w:pPr>
          </w:p>
        </w:tc>
        <w:tc>
          <w:tcPr>
            <w:tcW w:w="2410" w:type="dxa"/>
            <w:tcBorders>
              <w:top w:val="single" w:sz="6" w:space="0" w:color="auto"/>
              <w:left w:val="single" w:sz="6" w:space="0" w:color="auto"/>
              <w:right w:val="single" w:sz="6" w:space="0" w:color="auto"/>
            </w:tcBorders>
          </w:tcPr>
          <w:p w:rsidR="009B4370" w:rsidRDefault="009B4370">
            <w:pPr>
              <w:ind w:right="16"/>
              <w:jc w:val="center"/>
              <w:rPr>
                <w:lang w:bidi="x-none"/>
              </w:rPr>
            </w:pPr>
          </w:p>
          <w:p w:rsidR="009B4370" w:rsidRDefault="009B4370">
            <w:pPr>
              <w:ind w:right="16"/>
              <w:jc w:val="center"/>
              <w:rPr>
                <w:lang w:bidi="x-none"/>
              </w:rPr>
            </w:pPr>
            <w:r>
              <w:rPr>
                <w:lang w:bidi="x-none"/>
              </w:rPr>
              <w:t>grotere groepen</w:t>
            </w:r>
          </w:p>
          <w:p w:rsidR="009B4370" w:rsidRDefault="009B4370">
            <w:pPr>
              <w:ind w:right="16"/>
              <w:jc w:val="center"/>
              <w:rPr>
                <w:lang w:bidi="x-none"/>
              </w:rPr>
            </w:pPr>
            <w:r>
              <w:rPr>
                <w:lang w:bidi="x-none"/>
              </w:rPr>
              <w:t>(20 medewerkers of meer)</w:t>
            </w:r>
          </w:p>
          <w:p w:rsidR="009B4370" w:rsidRDefault="009B4370">
            <w:pPr>
              <w:ind w:right="16"/>
              <w:jc w:val="center"/>
              <w:rPr>
                <w:lang w:bidi="x-none"/>
              </w:rPr>
            </w:pPr>
          </w:p>
        </w:tc>
      </w:tr>
      <w:tr w:rsidR="009B4370">
        <w:tblPrEx>
          <w:tblCellMar>
            <w:top w:w="0" w:type="dxa"/>
            <w:bottom w:w="0" w:type="dxa"/>
          </w:tblCellMar>
        </w:tblPrEx>
        <w:tc>
          <w:tcPr>
            <w:tcW w:w="3908" w:type="dxa"/>
          </w:tcPr>
          <w:p w:rsidR="009B4370" w:rsidRDefault="009B4370">
            <w:pPr>
              <w:ind w:left="284" w:right="16" w:hanging="284"/>
              <w:rPr>
                <w:lang w:bidi="x-none"/>
              </w:rPr>
            </w:pPr>
            <w:r>
              <w:rPr>
                <w:lang w:bidi="x-none"/>
              </w:rPr>
              <w:t>-</w:t>
            </w:r>
            <w:r>
              <w:rPr>
                <w:lang w:bidi="x-none"/>
              </w:rPr>
              <w:tab/>
              <w:t>opbouw medewerkersbestand</w:t>
            </w:r>
          </w:p>
          <w:p w:rsidR="009B4370" w:rsidRDefault="009B4370">
            <w:pPr>
              <w:ind w:right="16"/>
              <w:rPr>
                <w:lang w:bidi="x-none"/>
              </w:rPr>
            </w:pPr>
          </w:p>
        </w:tc>
        <w:tc>
          <w:tcPr>
            <w:tcW w:w="2551" w:type="dxa"/>
            <w:tcBorders>
              <w:left w:val="single" w:sz="6" w:space="0" w:color="auto"/>
            </w:tcBorders>
          </w:tcPr>
          <w:p w:rsidR="009B4370" w:rsidRDefault="009B4370">
            <w:pPr>
              <w:ind w:right="16"/>
              <w:jc w:val="center"/>
              <w:rPr>
                <w:lang w:bidi="x-none"/>
              </w:rPr>
            </w:pPr>
            <w:r>
              <w:rPr>
                <w:lang w:bidi="x-none"/>
              </w:rPr>
              <w:t>vooral geoefende medewerkers</w:t>
            </w:r>
          </w:p>
          <w:p w:rsidR="009B4370" w:rsidRDefault="009B4370">
            <w:pPr>
              <w:ind w:left="203" w:right="16" w:hanging="203"/>
              <w:jc w:val="center"/>
              <w:rPr>
                <w:lang w:bidi="x-none"/>
              </w:rPr>
            </w:pPr>
          </w:p>
        </w:tc>
        <w:tc>
          <w:tcPr>
            <w:tcW w:w="2410" w:type="dxa"/>
            <w:tcBorders>
              <w:left w:val="single" w:sz="6" w:space="0" w:color="auto"/>
              <w:right w:val="single" w:sz="6" w:space="0" w:color="auto"/>
            </w:tcBorders>
          </w:tcPr>
          <w:p w:rsidR="009B4370" w:rsidRDefault="009B4370">
            <w:pPr>
              <w:ind w:right="16"/>
              <w:jc w:val="center"/>
              <w:rPr>
                <w:lang w:bidi="x-none"/>
              </w:rPr>
            </w:pPr>
            <w:r>
              <w:rPr>
                <w:lang w:bidi="x-none"/>
              </w:rPr>
              <w:t>geoefende en vakmatig geschoolde medewerkers</w:t>
            </w:r>
          </w:p>
          <w:p w:rsidR="009B4370" w:rsidRDefault="009B4370">
            <w:pPr>
              <w:pStyle w:val="Bloktekst"/>
              <w:ind w:left="0" w:firstLine="0"/>
              <w:rPr>
                <w:lang w:bidi="x-none"/>
              </w:rPr>
            </w:pPr>
          </w:p>
        </w:tc>
      </w:tr>
      <w:tr w:rsidR="009B4370">
        <w:tblPrEx>
          <w:tblCellMar>
            <w:top w:w="0" w:type="dxa"/>
            <w:bottom w:w="0" w:type="dxa"/>
          </w:tblCellMar>
        </w:tblPrEx>
        <w:tc>
          <w:tcPr>
            <w:tcW w:w="3908" w:type="dxa"/>
          </w:tcPr>
          <w:p w:rsidR="009B4370" w:rsidRDefault="009B4370">
            <w:pPr>
              <w:ind w:left="284" w:right="-80" w:hanging="284"/>
              <w:rPr>
                <w:lang w:bidi="x-none"/>
              </w:rPr>
            </w:pPr>
            <w:r>
              <w:rPr>
                <w:lang w:bidi="x-none"/>
              </w:rPr>
              <w:t>-</w:t>
            </w:r>
            <w:r>
              <w:rPr>
                <w:lang w:bidi="x-none"/>
              </w:rPr>
              <w:tab/>
              <w:t>complexiteit van het “productieproces” (voorspelbaarheid, aantal verstoringen en omvang)</w:t>
            </w:r>
          </w:p>
          <w:p w:rsidR="009B4370" w:rsidRDefault="009B4370">
            <w:pPr>
              <w:ind w:left="284" w:right="16" w:hanging="284"/>
              <w:rPr>
                <w:lang w:bidi="x-none"/>
              </w:rPr>
            </w:pPr>
          </w:p>
        </w:tc>
        <w:tc>
          <w:tcPr>
            <w:tcW w:w="2551" w:type="dxa"/>
            <w:tcBorders>
              <w:left w:val="single" w:sz="6" w:space="0" w:color="auto"/>
            </w:tcBorders>
          </w:tcPr>
          <w:p w:rsidR="009B4370" w:rsidRDefault="009B4370">
            <w:pPr>
              <w:ind w:right="16"/>
              <w:jc w:val="center"/>
              <w:rPr>
                <w:lang w:bidi="x-none"/>
              </w:rPr>
            </w:pPr>
            <w:r>
              <w:rPr>
                <w:lang w:bidi="x-none"/>
              </w:rPr>
              <w:t>stabiel proces met beperkt aantal variabelen</w:t>
            </w:r>
          </w:p>
        </w:tc>
        <w:tc>
          <w:tcPr>
            <w:tcW w:w="2410" w:type="dxa"/>
            <w:tcBorders>
              <w:left w:val="single" w:sz="6" w:space="0" w:color="auto"/>
              <w:right w:val="single" w:sz="6" w:space="0" w:color="auto"/>
            </w:tcBorders>
          </w:tcPr>
          <w:p w:rsidR="009B4370" w:rsidRDefault="009B4370">
            <w:pPr>
              <w:ind w:right="16"/>
              <w:jc w:val="center"/>
              <w:rPr>
                <w:lang w:bidi="x-none"/>
              </w:rPr>
            </w:pPr>
            <w:r>
              <w:rPr>
                <w:lang w:bidi="x-none"/>
              </w:rPr>
              <w:t>minder voorspelbaar proces met veel mogelijke variabelen</w:t>
            </w:r>
          </w:p>
          <w:p w:rsidR="009B4370" w:rsidRDefault="009B4370">
            <w:pPr>
              <w:ind w:right="16"/>
              <w:jc w:val="center"/>
              <w:rPr>
                <w:lang w:bidi="x-none"/>
              </w:rPr>
            </w:pPr>
          </w:p>
        </w:tc>
      </w:tr>
      <w:tr w:rsidR="009B4370">
        <w:tblPrEx>
          <w:tblCellMar>
            <w:top w:w="0" w:type="dxa"/>
            <w:bottom w:w="0" w:type="dxa"/>
          </w:tblCellMar>
        </w:tblPrEx>
        <w:tc>
          <w:tcPr>
            <w:tcW w:w="3908" w:type="dxa"/>
          </w:tcPr>
          <w:p w:rsidR="009B4370" w:rsidRDefault="009B4370">
            <w:pPr>
              <w:ind w:left="284" w:right="16" w:hanging="284"/>
              <w:rPr>
                <w:lang w:bidi="x-none"/>
              </w:rPr>
            </w:pPr>
            <w:r>
              <w:rPr>
                <w:lang w:bidi="x-none"/>
              </w:rPr>
              <w:t>-</w:t>
            </w:r>
            <w:r>
              <w:rPr>
                <w:lang w:bidi="x-none"/>
              </w:rPr>
              <w:tab/>
              <w:t>beheer van bedrijfsruimtes en apparatuur/materieel</w:t>
            </w:r>
          </w:p>
          <w:p w:rsidR="009B4370" w:rsidRDefault="009B4370">
            <w:pPr>
              <w:ind w:right="16"/>
              <w:rPr>
                <w:lang w:bidi="x-none"/>
              </w:rPr>
            </w:pPr>
          </w:p>
        </w:tc>
        <w:tc>
          <w:tcPr>
            <w:tcW w:w="2551" w:type="dxa"/>
            <w:tcBorders>
              <w:left w:val="single" w:sz="6" w:space="0" w:color="auto"/>
            </w:tcBorders>
          </w:tcPr>
          <w:p w:rsidR="009B4370" w:rsidRDefault="009B4370">
            <w:pPr>
              <w:ind w:right="16"/>
              <w:jc w:val="center"/>
              <w:rPr>
                <w:lang w:bidi="x-none"/>
              </w:rPr>
            </w:pPr>
            <w:r>
              <w:rPr>
                <w:lang w:bidi="x-none"/>
              </w:rPr>
              <w:t>eenduidig en/of eenvoudig</w:t>
            </w:r>
          </w:p>
          <w:p w:rsidR="009B4370" w:rsidRDefault="009B4370">
            <w:pPr>
              <w:tabs>
                <w:tab w:val="left" w:pos="203"/>
              </w:tabs>
              <w:ind w:right="16"/>
              <w:jc w:val="center"/>
              <w:rPr>
                <w:lang w:bidi="x-none"/>
              </w:rPr>
            </w:pPr>
          </w:p>
        </w:tc>
        <w:tc>
          <w:tcPr>
            <w:tcW w:w="2410" w:type="dxa"/>
            <w:tcBorders>
              <w:left w:val="single" w:sz="6" w:space="0" w:color="auto"/>
              <w:right w:val="single" w:sz="6" w:space="0" w:color="auto"/>
            </w:tcBorders>
          </w:tcPr>
          <w:p w:rsidR="009B4370" w:rsidRDefault="009B4370">
            <w:pPr>
              <w:ind w:right="16"/>
              <w:jc w:val="center"/>
              <w:rPr>
                <w:lang w:bidi="x-none"/>
              </w:rPr>
            </w:pPr>
            <w:r>
              <w:rPr>
                <w:lang w:bidi="x-none"/>
              </w:rPr>
              <w:t>minder eenduidig en/of omvangrijk</w:t>
            </w:r>
          </w:p>
        </w:tc>
      </w:tr>
      <w:tr w:rsidR="009B4370">
        <w:tblPrEx>
          <w:tblCellMar>
            <w:top w:w="0" w:type="dxa"/>
            <w:bottom w:w="0" w:type="dxa"/>
          </w:tblCellMar>
        </w:tblPrEx>
        <w:tc>
          <w:tcPr>
            <w:tcW w:w="3908" w:type="dxa"/>
          </w:tcPr>
          <w:p w:rsidR="009B4370" w:rsidRDefault="009B4370">
            <w:pPr>
              <w:ind w:left="300" w:right="16" w:hanging="300"/>
              <w:rPr>
                <w:lang w:bidi="x-none"/>
              </w:rPr>
            </w:pPr>
            <w:r>
              <w:rPr>
                <w:lang w:bidi="x-none"/>
              </w:rPr>
              <w:t>-</w:t>
            </w:r>
            <w:r>
              <w:rPr>
                <w:lang w:bidi="x-none"/>
              </w:rPr>
              <w:tab/>
              <w:t>werken onder tijdsdruk/hectiek van het werk</w:t>
            </w:r>
          </w:p>
          <w:p w:rsidR="009B4370" w:rsidRDefault="009B4370">
            <w:pPr>
              <w:ind w:left="300" w:right="16" w:hanging="300"/>
              <w:rPr>
                <w:lang w:bidi="x-none"/>
              </w:rPr>
            </w:pPr>
          </w:p>
        </w:tc>
        <w:tc>
          <w:tcPr>
            <w:tcW w:w="2551" w:type="dxa"/>
            <w:tcBorders>
              <w:left w:val="single" w:sz="6" w:space="0" w:color="auto"/>
            </w:tcBorders>
          </w:tcPr>
          <w:p w:rsidR="009B4370" w:rsidRDefault="009B4370">
            <w:pPr>
              <w:ind w:right="16"/>
              <w:jc w:val="center"/>
              <w:rPr>
                <w:lang w:bidi="x-none"/>
              </w:rPr>
            </w:pPr>
            <w:r>
              <w:rPr>
                <w:lang w:bidi="x-none"/>
              </w:rPr>
              <w:t>vooral reageren op verstoringen in het eigen proces</w:t>
            </w:r>
          </w:p>
          <w:p w:rsidR="009B4370" w:rsidRDefault="009B4370">
            <w:pPr>
              <w:ind w:right="16"/>
              <w:jc w:val="center"/>
              <w:rPr>
                <w:lang w:bidi="x-none"/>
              </w:rPr>
            </w:pPr>
          </w:p>
        </w:tc>
        <w:tc>
          <w:tcPr>
            <w:tcW w:w="2410" w:type="dxa"/>
            <w:tcBorders>
              <w:left w:val="single" w:sz="6" w:space="0" w:color="auto"/>
              <w:right w:val="single" w:sz="6" w:space="0" w:color="auto"/>
            </w:tcBorders>
          </w:tcPr>
          <w:p w:rsidR="009B4370" w:rsidRDefault="009B4370">
            <w:pPr>
              <w:ind w:right="16"/>
              <w:jc w:val="center"/>
              <w:rPr>
                <w:lang w:bidi="x-none"/>
              </w:rPr>
            </w:pPr>
            <w:r>
              <w:rPr>
                <w:lang w:bidi="x-none"/>
              </w:rPr>
              <w:t>reageren op ver-storingen van buiten</w:t>
            </w:r>
          </w:p>
          <w:p w:rsidR="009B4370" w:rsidRDefault="009B4370">
            <w:pPr>
              <w:ind w:right="16"/>
              <w:jc w:val="center"/>
              <w:rPr>
                <w:lang w:bidi="x-none"/>
              </w:rPr>
            </w:pPr>
          </w:p>
        </w:tc>
      </w:tr>
      <w:tr w:rsidR="009B4370">
        <w:tblPrEx>
          <w:tblCellMar>
            <w:top w:w="0" w:type="dxa"/>
            <w:bottom w:w="0" w:type="dxa"/>
          </w:tblCellMar>
        </w:tblPrEx>
        <w:tc>
          <w:tcPr>
            <w:tcW w:w="3908" w:type="dxa"/>
          </w:tcPr>
          <w:p w:rsidR="009B4370" w:rsidRDefault="009B4370">
            <w:pPr>
              <w:ind w:left="300" w:right="16" w:hanging="300"/>
              <w:rPr>
                <w:lang w:bidi="x-none"/>
              </w:rPr>
            </w:pPr>
            <w:r>
              <w:rPr>
                <w:lang w:bidi="x-none"/>
              </w:rPr>
              <w:t>-</w:t>
            </w:r>
            <w:r>
              <w:rPr>
                <w:lang w:bidi="x-none"/>
              </w:rPr>
              <w:tab/>
              <w:t>effect</w:t>
            </w:r>
          </w:p>
          <w:p w:rsidR="009B4370" w:rsidRDefault="009B4370">
            <w:pPr>
              <w:ind w:left="300" w:right="16" w:hanging="300"/>
              <w:rPr>
                <w:lang w:bidi="x-none"/>
              </w:rPr>
            </w:pPr>
            <w:r>
              <w:rPr>
                <w:lang w:bidi="x-none"/>
              </w:rPr>
              <w:tab/>
              <w:t>(impact van handelen op kwaliteit van product en dienstverlening)</w:t>
            </w:r>
          </w:p>
          <w:p w:rsidR="009B4370" w:rsidRDefault="009B4370">
            <w:pPr>
              <w:ind w:left="300" w:right="16" w:hanging="300"/>
              <w:rPr>
                <w:lang w:bidi="x-none"/>
              </w:rPr>
            </w:pPr>
          </w:p>
        </w:tc>
        <w:tc>
          <w:tcPr>
            <w:tcW w:w="2551" w:type="dxa"/>
            <w:tcBorders>
              <w:left w:val="single" w:sz="6" w:space="0" w:color="auto"/>
            </w:tcBorders>
          </w:tcPr>
          <w:p w:rsidR="009B4370" w:rsidRDefault="009B4370">
            <w:pPr>
              <w:ind w:right="16"/>
              <w:jc w:val="center"/>
              <w:rPr>
                <w:lang w:bidi="x-none"/>
              </w:rPr>
            </w:pPr>
            <w:r>
              <w:rPr>
                <w:lang w:bidi="x-none"/>
              </w:rPr>
              <w:t>beperkt</w:t>
            </w:r>
          </w:p>
        </w:tc>
        <w:tc>
          <w:tcPr>
            <w:tcW w:w="2410" w:type="dxa"/>
            <w:tcBorders>
              <w:left w:val="single" w:sz="6" w:space="0" w:color="auto"/>
              <w:right w:val="single" w:sz="6" w:space="0" w:color="auto"/>
            </w:tcBorders>
          </w:tcPr>
          <w:p w:rsidR="009B4370" w:rsidRDefault="009B4370">
            <w:pPr>
              <w:ind w:right="16"/>
              <w:jc w:val="center"/>
              <w:rPr>
                <w:lang w:bidi="x-none"/>
              </w:rPr>
            </w:pPr>
            <w:r>
              <w:rPr>
                <w:lang w:bidi="x-none"/>
              </w:rPr>
              <w:t>hoog</w:t>
            </w:r>
          </w:p>
        </w:tc>
      </w:tr>
      <w:tr w:rsidR="009B4370">
        <w:tblPrEx>
          <w:tblCellMar>
            <w:top w:w="0" w:type="dxa"/>
            <w:bottom w:w="0" w:type="dxa"/>
          </w:tblCellMar>
        </w:tblPrEx>
        <w:tc>
          <w:tcPr>
            <w:tcW w:w="3908" w:type="dxa"/>
          </w:tcPr>
          <w:p w:rsidR="009B4370" w:rsidRDefault="009B4370">
            <w:pPr>
              <w:ind w:left="300" w:right="16" w:hanging="300"/>
              <w:rPr>
                <w:lang w:bidi="x-none"/>
              </w:rPr>
            </w:pPr>
            <w:r>
              <w:rPr>
                <w:lang w:bidi="x-none"/>
              </w:rPr>
              <w:t>-</w:t>
            </w:r>
            <w:r>
              <w:rPr>
                <w:lang w:bidi="x-none"/>
              </w:rPr>
              <w:tab/>
              <w:t>aanvullende verantwoordelijkheden</w:t>
            </w:r>
          </w:p>
          <w:p w:rsidR="009B4370" w:rsidRDefault="009B4370">
            <w:pPr>
              <w:ind w:left="300" w:right="16" w:hanging="300"/>
              <w:rPr>
                <w:lang w:bidi="x-none"/>
              </w:rPr>
            </w:pPr>
            <w:r>
              <w:rPr>
                <w:lang w:bidi="x-none"/>
              </w:rPr>
              <w:tab/>
              <w:t>(afhankelijk van de situatie)</w:t>
            </w:r>
          </w:p>
          <w:p w:rsidR="009B4370" w:rsidRDefault="009B4370">
            <w:pPr>
              <w:ind w:left="300" w:right="16" w:hanging="300"/>
              <w:rPr>
                <w:lang w:bidi="x-none"/>
              </w:rPr>
            </w:pPr>
          </w:p>
        </w:tc>
        <w:tc>
          <w:tcPr>
            <w:tcW w:w="2551" w:type="dxa"/>
            <w:tcBorders>
              <w:left w:val="single" w:sz="6" w:space="0" w:color="auto"/>
            </w:tcBorders>
          </w:tcPr>
          <w:p w:rsidR="009B4370" w:rsidRDefault="009B4370">
            <w:pPr>
              <w:ind w:right="16"/>
              <w:jc w:val="center"/>
              <w:rPr>
                <w:lang w:bidi="x-none"/>
              </w:rPr>
            </w:pPr>
            <w:r>
              <w:rPr>
                <w:lang w:bidi="x-none"/>
              </w:rPr>
              <w:t>niet van toepassing</w:t>
            </w:r>
          </w:p>
        </w:tc>
        <w:tc>
          <w:tcPr>
            <w:tcW w:w="2410" w:type="dxa"/>
            <w:tcBorders>
              <w:left w:val="single" w:sz="6" w:space="0" w:color="auto"/>
              <w:right w:val="single" w:sz="6" w:space="0" w:color="auto"/>
            </w:tcBorders>
          </w:tcPr>
          <w:p w:rsidR="009B4370" w:rsidRDefault="009B4370">
            <w:pPr>
              <w:ind w:right="16"/>
              <w:jc w:val="center"/>
              <w:rPr>
                <w:lang w:bidi="x-none"/>
              </w:rPr>
            </w:pPr>
            <w:r>
              <w:rPr>
                <w:lang w:bidi="x-none"/>
              </w:rPr>
              <w:t>afdelingsoverstijgende verantwoordelijkheden (b.v. klantgerelateerde activiteiten)</w:t>
            </w:r>
          </w:p>
          <w:p w:rsidR="009B4370" w:rsidRDefault="009B4370">
            <w:pPr>
              <w:ind w:right="16"/>
              <w:jc w:val="center"/>
              <w:rPr>
                <w:lang w:bidi="x-none"/>
              </w:rPr>
            </w:pPr>
          </w:p>
        </w:tc>
      </w:tr>
    </w:tbl>
    <w:p w:rsidR="009B4370" w:rsidRDefault="009B4370"/>
    <w:sectPr w:rsidR="009B4370">
      <w:headerReference w:type="default" r:id="rId7"/>
      <w:footerReference w:type="default" r:id="rId8"/>
      <w:pgSz w:w="11900" w:h="16840"/>
      <w:pgMar w:top="1985" w:right="1701" w:bottom="1418" w:left="1814" w:header="85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70" w:rsidRDefault="009B4370">
      <w:pPr>
        <w:spacing w:line="240" w:lineRule="auto"/>
      </w:pPr>
      <w:r>
        <w:separator/>
      </w:r>
    </w:p>
  </w:endnote>
  <w:endnote w:type="continuationSeparator" w:id="0">
    <w:p w:rsidR="009B4370" w:rsidRDefault="009B4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70" w:rsidRDefault="009B4370">
    <w:pPr>
      <w:pStyle w:val="Voettekst1"/>
    </w:pPr>
    <w:r>
      <w:t>IC.6.2-bijl. en IC.7.3-bijl./</w:t>
    </w:r>
    <w:r>
      <w:fldChar w:fldCharType="begin"/>
    </w:r>
    <w:r>
      <w:instrText xml:space="preserve"> PAGE </w:instrText>
    </w:r>
    <w:r>
      <w:fldChar w:fldCharType="separate"/>
    </w:r>
    <w:r w:rsidR="00D427A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70" w:rsidRDefault="009B4370">
      <w:pPr>
        <w:spacing w:line="240" w:lineRule="auto"/>
      </w:pPr>
      <w:r>
        <w:separator/>
      </w:r>
    </w:p>
  </w:footnote>
  <w:footnote w:type="continuationSeparator" w:id="0">
    <w:p w:rsidR="009B4370" w:rsidRDefault="009B437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70" w:rsidRDefault="009B4370">
    <w:pPr>
      <w:pStyle w:val="Koptekst"/>
      <w:ind w:right="-6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50"/>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D9"/>
    <w:rsid w:val="000C267D"/>
    <w:rsid w:val="009B4370"/>
    <w:rsid w:val="00D427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outlineLvl w:val="1"/>
    </w:pPr>
    <w:rPr>
      <w:b/>
      <w:u w:val="single"/>
    </w:rPr>
  </w:style>
  <w:style w:type="paragraph" w:styleId="Kop3">
    <w:name w:val="heading 3"/>
    <w:basedOn w:val="Normaal"/>
    <w:next w:val="Normaal"/>
    <w:qFormat/>
    <w:pPr>
      <w:keepNext/>
      <w:tabs>
        <w:tab w:val="left" w:pos="3700"/>
        <w:tab w:val="left" w:pos="7080"/>
      </w:tabs>
      <w:outlineLvl w:val="2"/>
    </w:pPr>
    <w:rPr>
      <w:b/>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Bloktekst">
    <w:name w:val="Block Text"/>
    <w:basedOn w:val="Normaal"/>
    <w:pPr>
      <w:tabs>
        <w:tab w:val="left" w:pos="203"/>
      </w:tabs>
      <w:ind w:left="203" w:right="16" w:hanging="203"/>
      <w:jc w:val="center"/>
    </w:p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outlineLvl w:val="1"/>
    </w:pPr>
    <w:rPr>
      <w:b/>
      <w:u w:val="single"/>
    </w:rPr>
  </w:style>
  <w:style w:type="paragraph" w:styleId="Kop3">
    <w:name w:val="heading 3"/>
    <w:basedOn w:val="Normaal"/>
    <w:next w:val="Normaal"/>
    <w:qFormat/>
    <w:pPr>
      <w:keepNext/>
      <w:tabs>
        <w:tab w:val="left" w:pos="3700"/>
        <w:tab w:val="left" w:pos="7080"/>
      </w:tabs>
      <w:outlineLvl w:val="2"/>
    </w:pPr>
    <w:rPr>
      <w:b/>
    </w:rPr>
  </w:style>
  <w:style w:type="character" w:default="1" w:styleId="Standaardalinea-lettertype">
    <w:name w:val="Default Paragraph Font"/>
  </w:style>
  <w:style w:type="table" w:default="1" w:styleId="Standaardtabel">
    <w:name w:val="Normal Table"/>
    <w:semiHidden/>
    <w:rPr>
      <w:lang w:bidi="x-none"/>
    </w:rPr>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Bloktekst">
    <w:name w:val="Block Text"/>
    <w:basedOn w:val="Normaal"/>
    <w:pPr>
      <w:tabs>
        <w:tab w:val="left" w:pos="203"/>
      </w:tabs>
      <w:ind w:left="203" w:right="16" w:hanging="203"/>
      <w:jc w:val="center"/>
    </w:p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1288</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CONCEPT</vt:lpstr>
    </vt:vector>
  </TitlesOfParts>
  <Company>EVZ organisatie-adviseurs</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subject/>
  <dc:creator>W. Verschuur</dc:creator>
  <cp:keywords/>
  <cp:lastModifiedBy>EVZ</cp:lastModifiedBy>
  <cp:revision>2</cp:revision>
  <cp:lastPrinted>2004-07-26T14:35:00Z</cp:lastPrinted>
  <dcterms:created xsi:type="dcterms:W3CDTF">2016-03-09T08:46:00Z</dcterms:created>
  <dcterms:modified xsi:type="dcterms:W3CDTF">2016-03-09T08:46:00Z</dcterms:modified>
</cp:coreProperties>
</file>